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C0" w:rsidRPr="00F53161" w:rsidRDefault="009067C0" w:rsidP="00176871">
      <w:pPr>
        <w:jc w:val="center"/>
        <w:rPr>
          <w:rFonts w:cstheme="minorHAnsi"/>
          <w:b/>
          <w:bCs/>
        </w:rPr>
      </w:pPr>
    </w:p>
    <w:p w:rsidR="009067C0" w:rsidRPr="00F53161" w:rsidRDefault="009067C0" w:rsidP="00C052B6">
      <w:pPr>
        <w:bidi/>
        <w:spacing w:after="0" w:line="240" w:lineRule="auto"/>
        <w:jc w:val="center"/>
        <w:rPr>
          <w:rFonts w:eastAsia="Times New Roman" w:cstheme="minorHAnsi"/>
          <w:b/>
          <w:bCs/>
          <w:color w:val="000000"/>
          <w:rtl/>
        </w:rPr>
      </w:pPr>
      <w:r w:rsidRPr="00F53161">
        <w:rPr>
          <w:rFonts w:eastAsia="Times New Roman" w:cstheme="minorHAnsi"/>
          <w:b/>
          <w:bCs/>
          <w:color w:val="000000"/>
        </w:rPr>
        <w:t xml:space="preserve">Circular to </w:t>
      </w:r>
      <w:r w:rsidR="00C052B6" w:rsidRPr="00F53161">
        <w:rPr>
          <w:rFonts w:eastAsia="Times New Roman" w:cstheme="minorHAnsi"/>
          <w:b/>
          <w:bCs/>
          <w:color w:val="000000"/>
        </w:rPr>
        <w:t>Private</w:t>
      </w:r>
      <w:r w:rsidRPr="00F53161">
        <w:rPr>
          <w:rFonts w:eastAsia="Times New Roman" w:cstheme="minorHAnsi"/>
          <w:b/>
          <w:bCs/>
          <w:color w:val="000000"/>
        </w:rPr>
        <w:t xml:space="preserve"> schools for the academic year 2019-2020</w:t>
      </w:r>
    </w:p>
    <w:p w:rsidR="009067C0" w:rsidRPr="00F53161" w:rsidRDefault="009067C0" w:rsidP="009067C0">
      <w:pPr>
        <w:bidi/>
        <w:spacing w:after="0" w:line="240" w:lineRule="auto"/>
        <w:jc w:val="center"/>
        <w:rPr>
          <w:rFonts w:eastAsia="Times New Roman" w:cstheme="minorHAnsi"/>
          <w:color w:val="000000"/>
          <w:rtl/>
        </w:rPr>
      </w:pPr>
      <w:r w:rsidRPr="00F53161">
        <w:rPr>
          <w:rFonts w:eastAsia="Times New Roman" w:cstheme="minorHAnsi"/>
          <w:color w:val="000000"/>
          <w:rtl/>
        </w:rPr>
        <w:t> </w:t>
      </w:r>
    </w:p>
    <w:tbl>
      <w:tblPr>
        <w:tblW w:w="9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610"/>
        <w:gridCol w:w="2160"/>
        <w:gridCol w:w="2250"/>
      </w:tblGrid>
      <w:tr w:rsidR="009067C0" w:rsidRPr="00F53161" w:rsidTr="00737261">
        <w:trPr>
          <w:trHeight w:val="69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DF266C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Day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067C0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  <w:rtl/>
              </w:rPr>
              <w:t> </w:t>
            </w:r>
            <w:r w:rsidRPr="00F53161">
              <w:rPr>
                <w:rFonts w:eastAsia="Times New Roman" w:cstheme="minorHAnsi"/>
              </w:rPr>
              <w:t>Sunday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15A3C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 xml:space="preserve">Date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15A3C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22 September 2019</w:t>
            </w:r>
          </w:p>
        </w:tc>
      </w:tr>
      <w:tr w:rsidR="009067C0" w:rsidRPr="00F53161" w:rsidTr="00F63B22">
        <w:trPr>
          <w:trHeight w:val="69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067C0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Sector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15A3C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>Performance improvement</w:t>
            </w:r>
          </w:p>
        </w:tc>
      </w:tr>
      <w:tr w:rsidR="009067C0" w:rsidRPr="00F53161" w:rsidTr="00F63B22">
        <w:trPr>
          <w:trHeight w:val="724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15A3C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Department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067C0" w:rsidP="00915A3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>National and</w:t>
            </w:r>
            <w:r w:rsidR="00915A3C" w:rsidRPr="00F53161">
              <w:rPr>
                <w:rFonts w:eastAsia="Times New Roman" w:cstheme="minorHAnsi"/>
                <w:b/>
                <w:bCs/>
              </w:rPr>
              <w:t xml:space="preserve"> International Assessment</w:t>
            </w:r>
            <w:r w:rsidRPr="00F53161">
              <w:rPr>
                <w:rFonts w:eastAsia="Times New Roman" w:cstheme="minorHAnsi"/>
                <w:b/>
                <w:bCs/>
                <w:rtl/>
              </w:rPr>
              <w:t> </w:t>
            </w:r>
          </w:p>
        </w:tc>
      </w:tr>
      <w:tr w:rsidR="009067C0" w:rsidRPr="00F53161" w:rsidTr="00F63B22">
        <w:trPr>
          <w:trHeight w:val="695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DF241D" w:rsidP="00915A3C">
            <w:pPr>
              <w:bidi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>Circular</w:t>
            </w:r>
            <w:r w:rsidR="009067C0" w:rsidRPr="00F53161">
              <w:rPr>
                <w:rFonts w:eastAsia="Times New Roman" w:cstheme="minorHAnsi"/>
              </w:rPr>
              <w:t xml:space="preserve"> </w:t>
            </w:r>
            <w:r w:rsidR="00915A3C" w:rsidRPr="00F53161">
              <w:rPr>
                <w:rFonts w:eastAsia="Times New Roman" w:cstheme="minorHAnsi"/>
              </w:rPr>
              <w:t xml:space="preserve"> subject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067C0" w:rsidP="00915A3C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>Launch of</w:t>
            </w:r>
            <w:r w:rsidR="00915A3C" w:rsidRPr="00F53161">
              <w:rPr>
                <w:rFonts w:eastAsia="Times New Roman" w:cstheme="minorHAnsi"/>
                <w:b/>
                <w:bCs/>
              </w:rPr>
              <w:t xml:space="preserve"> Emirates Standardized Test (EmSAT) cycle </w:t>
            </w:r>
            <w:r w:rsidR="00C20805" w:rsidRPr="00F53161">
              <w:rPr>
                <w:rFonts w:eastAsia="Times New Roman" w:cstheme="minorHAnsi"/>
                <w:b/>
                <w:bCs/>
              </w:rPr>
              <w:br/>
            </w:r>
            <w:r w:rsidR="00915A3C" w:rsidRPr="00F53161">
              <w:rPr>
                <w:rFonts w:eastAsia="Times New Roman" w:cstheme="minorHAnsi"/>
                <w:b/>
                <w:bCs/>
              </w:rPr>
              <w:t>2019 - 2020</w:t>
            </w:r>
          </w:p>
        </w:tc>
      </w:tr>
      <w:tr w:rsidR="009067C0" w:rsidRPr="00F53161" w:rsidTr="00F63B22">
        <w:trPr>
          <w:trHeight w:val="724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156588" w:rsidP="00915A3C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Circular content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241D" w:rsidRPr="00F53161" w:rsidRDefault="00DF241D" w:rsidP="00DD48C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156588" w:rsidRPr="00F53161" w:rsidRDefault="00156588" w:rsidP="00C052B6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  <w:b/>
                <w:bCs/>
              </w:rPr>
              <w:t>The National and International Departments extends its greetings to you. We are pleased to announce the</w:t>
            </w:r>
            <w:r w:rsidR="00F63B22" w:rsidRPr="00F53161">
              <w:rPr>
                <w:rFonts w:eastAsia="Times New Roman" w:cstheme="minorHAnsi"/>
                <w:b/>
                <w:bCs/>
              </w:rPr>
              <w:t xml:space="preserve"> launch</w:t>
            </w:r>
            <w:r w:rsidRPr="00F53161">
              <w:rPr>
                <w:rFonts w:eastAsia="Times New Roman" w:cstheme="minorHAnsi"/>
                <w:b/>
                <w:bCs/>
              </w:rPr>
              <w:t xml:space="preserve"> of </w:t>
            </w:r>
            <w:r w:rsidR="001E60FC" w:rsidRPr="00F53161">
              <w:rPr>
                <w:rFonts w:eastAsia="Times New Roman" w:cstheme="minorHAnsi"/>
                <w:b/>
                <w:bCs/>
              </w:rPr>
              <w:t>The</w:t>
            </w:r>
            <w:r w:rsidRPr="00F53161">
              <w:rPr>
                <w:rFonts w:eastAsia="Times New Roman" w:cstheme="minorHAnsi"/>
                <w:b/>
                <w:bCs/>
              </w:rPr>
              <w:t xml:space="preserve"> Emirates Standardized Test </w:t>
            </w:r>
            <w:r w:rsidR="00C052B6" w:rsidRPr="00F53161">
              <w:rPr>
                <w:rFonts w:eastAsia="Times New Roman" w:cstheme="minorHAnsi"/>
                <w:b/>
                <w:bCs/>
              </w:rPr>
              <w:t xml:space="preserve">(EmSAT) </w:t>
            </w:r>
            <w:r w:rsidRPr="00F53161">
              <w:rPr>
                <w:rFonts w:eastAsia="Times New Roman" w:cstheme="minorHAnsi"/>
                <w:b/>
                <w:bCs/>
              </w:rPr>
              <w:t>for the academic year 2019 - 2020</w:t>
            </w:r>
          </w:p>
          <w:p w:rsidR="009067C0" w:rsidRPr="00F53161" w:rsidRDefault="009067C0" w:rsidP="009C4B97">
            <w:pPr>
              <w:bidi/>
              <w:spacing w:after="0" w:line="240" w:lineRule="auto"/>
              <w:jc w:val="right"/>
              <w:rPr>
                <w:rFonts w:eastAsia="Times New Roman" w:cstheme="minorHAnsi"/>
                <w:rtl/>
              </w:rPr>
            </w:pPr>
          </w:p>
          <w:p w:rsidR="009067C0" w:rsidRPr="00F53161" w:rsidRDefault="001E60FC" w:rsidP="00BE3C5F">
            <w:pPr>
              <w:spacing w:before="100" w:after="200" w:line="240" w:lineRule="auto"/>
              <w:ind w:left="720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 xml:space="preserve">The </w:t>
            </w:r>
            <w:r w:rsidR="009067C0" w:rsidRPr="00F53161">
              <w:rPr>
                <w:rFonts w:eastAsia="Times New Roman" w:cstheme="minorHAnsi"/>
              </w:rPr>
              <w:t>Emirates Standard</w:t>
            </w:r>
            <w:r w:rsidR="00C052B6" w:rsidRPr="00F53161">
              <w:rPr>
                <w:rFonts w:eastAsia="Times New Roman" w:cstheme="minorHAnsi"/>
              </w:rPr>
              <w:t>ized</w:t>
            </w:r>
            <w:r w:rsidR="009067C0" w:rsidRPr="00F53161">
              <w:rPr>
                <w:rFonts w:eastAsia="Times New Roman" w:cstheme="minorHAnsi"/>
              </w:rPr>
              <w:t xml:space="preserve"> Test </w:t>
            </w:r>
            <w:r w:rsidR="00BE3C5F" w:rsidRPr="00F53161">
              <w:rPr>
                <w:rFonts w:eastAsia="Times New Roman" w:cstheme="minorHAnsi"/>
              </w:rPr>
              <w:t>website</w:t>
            </w:r>
            <w:r w:rsidR="009067C0" w:rsidRPr="00F53161">
              <w:rPr>
                <w:rFonts w:eastAsia="Times New Roman" w:cstheme="minorHAnsi"/>
                <w:rtl/>
              </w:rPr>
              <w:t>    </w:t>
            </w:r>
            <w:r w:rsidR="009067C0" w:rsidRPr="00F53161">
              <w:rPr>
                <w:rFonts w:eastAsia="Times New Roman" w:cstheme="minorHAnsi"/>
                <w:b/>
                <w:bCs/>
                <w:i/>
                <w:iCs/>
              </w:rPr>
              <w:t>emsat.moe.gov.ae</w:t>
            </w:r>
          </w:p>
          <w:p w:rsidR="009067C0" w:rsidRPr="00F53161" w:rsidRDefault="001E60FC" w:rsidP="00C052B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  <w:b/>
                <w:bCs/>
              </w:rPr>
              <w:t>EmSAT Achieve</w:t>
            </w:r>
            <w:r w:rsidR="00C052B6" w:rsidRPr="00F53161">
              <w:rPr>
                <w:rFonts w:eastAsia="Times New Roman" w:cstheme="minorHAnsi"/>
                <w:b/>
                <w:bCs/>
              </w:rPr>
              <w:t xml:space="preserve"> Test for Grade 12/ Year 13</w:t>
            </w:r>
          </w:p>
          <w:p w:rsidR="00DD48CB" w:rsidRPr="00F53161" w:rsidRDefault="00DD48CB" w:rsidP="009C4B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rtl/>
              </w:rPr>
            </w:pPr>
          </w:p>
          <w:p w:rsidR="009067C0" w:rsidRPr="00F53161" w:rsidRDefault="009067C0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The test is </w:t>
            </w:r>
            <w:r w:rsidR="00297AE1" w:rsidRPr="00F53161">
              <w:rPr>
                <w:rFonts w:eastAsia="Times New Roman" w:cstheme="minorHAnsi"/>
                <w:b/>
                <w:bCs/>
              </w:rPr>
              <w:t xml:space="preserve">compulsory </w:t>
            </w:r>
            <w:r w:rsidRPr="00F53161">
              <w:rPr>
                <w:rFonts w:eastAsia="Times New Roman" w:cstheme="minorHAnsi"/>
              </w:rPr>
              <w:t>for grade</w:t>
            </w:r>
            <w:r w:rsidR="001E60FC" w:rsidRPr="00F53161">
              <w:rPr>
                <w:rFonts w:eastAsia="Times New Roman" w:cstheme="minorHAnsi"/>
              </w:rPr>
              <w:t xml:space="preserve"> 12</w:t>
            </w:r>
            <w:r w:rsidRPr="00F53161">
              <w:rPr>
                <w:rFonts w:eastAsia="Times New Roman" w:cstheme="minorHAnsi"/>
              </w:rPr>
              <w:t xml:space="preserve"> Emirati students in public</w:t>
            </w:r>
            <w:r w:rsidR="00F17012" w:rsidRPr="00F53161">
              <w:rPr>
                <w:rFonts w:eastAsia="Times New Roman" w:cstheme="minorHAnsi"/>
              </w:rPr>
              <w:t xml:space="preserve"> and private schools.</w:t>
            </w:r>
          </w:p>
          <w:p w:rsidR="009067C0" w:rsidRPr="00F53161" w:rsidRDefault="00F63B22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The Test is </w:t>
            </w:r>
            <w:r w:rsidR="00297AE1" w:rsidRPr="00F53161">
              <w:rPr>
                <w:rFonts w:eastAsia="Times New Roman" w:cstheme="minorHAnsi"/>
                <w:b/>
                <w:bCs/>
              </w:rPr>
              <w:t xml:space="preserve">compulsory </w:t>
            </w:r>
            <w:r w:rsidR="00D668EB" w:rsidRPr="00F53161">
              <w:rPr>
                <w:rFonts w:eastAsia="Times New Roman" w:cstheme="minorHAnsi"/>
              </w:rPr>
              <w:t>also</w:t>
            </w:r>
            <w:r w:rsidR="009067C0" w:rsidRPr="00F53161">
              <w:rPr>
                <w:rFonts w:eastAsia="Times New Roman" w:cstheme="minorHAnsi"/>
              </w:rPr>
              <w:t xml:space="preserve"> for </w:t>
            </w:r>
            <w:r w:rsidR="00DD48CB" w:rsidRPr="00F53161">
              <w:rPr>
                <w:rFonts w:eastAsia="Times New Roman" w:cstheme="minorHAnsi"/>
              </w:rPr>
              <w:t>non</w:t>
            </w:r>
            <w:r w:rsidRPr="00F53161">
              <w:rPr>
                <w:rFonts w:eastAsia="Times New Roman" w:cstheme="minorHAnsi"/>
                <w:rtl/>
              </w:rPr>
              <w:t xml:space="preserve"> -</w:t>
            </w:r>
            <w:r w:rsidRPr="00F53161">
              <w:rPr>
                <w:rFonts w:eastAsia="Times New Roman" w:cstheme="minorHAnsi"/>
              </w:rPr>
              <w:t>Emirati</w:t>
            </w:r>
            <w:r w:rsidRPr="00F53161">
              <w:rPr>
                <w:rFonts w:eastAsia="Times New Roman" w:cstheme="minorHAnsi"/>
                <w:rtl/>
              </w:rPr>
              <w:t> </w:t>
            </w:r>
            <w:r w:rsidRPr="00F53161">
              <w:rPr>
                <w:rFonts w:eastAsia="Times New Roman" w:cstheme="minorHAnsi"/>
              </w:rPr>
              <w:t>students in public</w:t>
            </w:r>
            <w:r w:rsidR="00DD48CB" w:rsidRPr="00F53161">
              <w:rPr>
                <w:rFonts w:eastAsia="Times New Roman" w:cstheme="minorHAnsi"/>
              </w:rPr>
              <w:t xml:space="preserve"> </w:t>
            </w:r>
            <w:r w:rsidR="00C20805" w:rsidRPr="00F53161">
              <w:rPr>
                <w:rFonts w:eastAsia="Times New Roman" w:cstheme="minorHAnsi"/>
              </w:rPr>
              <w:t xml:space="preserve">and private </w:t>
            </w:r>
            <w:r w:rsidRPr="00F53161">
              <w:rPr>
                <w:rFonts w:eastAsia="Times New Roman" w:cstheme="minorHAnsi"/>
              </w:rPr>
              <w:t>schools</w:t>
            </w:r>
            <w:r w:rsidR="00B643BF" w:rsidRPr="00F53161">
              <w:rPr>
                <w:rFonts w:eastAsia="Times New Roman" w:cstheme="minorHAnsi"/>
              </w:rPr>
              <w:t>,</w:t>
            </w:r>
            <w:r w:rsidR="009067C0" w:rsidRPr="00F53161">
              <w:rPr>
                <w:rFonts w:eastAsia="Times New Roman" w:cstheme="minorHAnsi"/>
                <w:rtl/>
              </w:rPr>
              <w:t> </w:t>
            </w:r>
            <w:r w:rsidR="00297AE1" w:rsidRPr="00F53161">
              <w:rPr>
                <w:rFonts w:eastAsia="Times New Roman" w:cstheme="minorHAnsi"/>
              </w:rPr>
              <w:t xml:space="preserve">which </w:t>
            </w:r>
            <w:r w:rsidR="00DD48CB" w:rsidRPr="00F53161">
              <w:rPr>
                <w:rFonts w:eastAsia="Times New Roman" w:cstheme="minorHAnsi"/>
              </w:rPr>
              <w:t>follows</w:t>
            </w:r>
            <w:r w:rsidR="009067C0" w:rsidRPr="00F53161">
              <w:rPr>
                <w:rFonts w:eastAsia="Times New Roman" w:cstheme="minorHAnsi"/>
                <w:rtl/>
              </w:rPr>
              <w:t> </w:t>
            </w:r>
            <w:r w:rsidR="009067C0" w:rsidRPr="00F53161">
              <w:rPr>
                <w:rFonts w:eastAsia="Times New Roman" w:cstheme="minorHAnsi"/>
              </w:rPr>
              <w:t>the</w:t>
            </w:r>
            <w:r w:rsidR="009067C0" w:rsidRPr="00F53161">
              <w:rPr>
                <w:rFonts w:eastAsia="Times New Roman" w:cstheme="minorHAnsi"/>
                <w:rtl/>
              </w:rPr>
              <w:t> </w:t>
            </w:r>
            <w:r w:rsidR="00297AE1" w:rsidRPr="00F53161">
              <w:rPr>
                <w:rFonts w:eastAsia="Times New Roman" w:cstheme="minorHAnsi"/>
              </w:rPr>
              <w:t xml:space="preserve">Ministry </w:t>
            </w:r>
            <w:r w:rsidR="009067C0" w:rsidRPr="00F53161">
              <w:rPr>
                <w:rFonts w:eastAsia="Times New Roman" w:cstheme="minorHAnsi"/>
              </w:rPr>
              <w:t>of</w:t>
            </w:r>
            <w:r w:rsidR="009067C0" w:rsidRPr="00F53161">
              <w:rPr>
                <w:rFonts w:eastAsia="Times New Roman" w:cstheme="minorHAnsi"/>
                <w:rtl/>
              </w:rPr>
              <w:t> </w:t>
            </w:r>
            <w:r w:rsidR="00DD48CB" w:rsidRPr="00F53161">
              <w:rPr>
                <w:rFonts w:eastAsia="Times New Roman" w:cstheme="minorHAnsi"/>
              </w:rPr>
              <w:t>Education curriculum.</w:t>
            </w:r>
          </w:p>
          <w:p w:rsidR="00B643BF" w:rsidRPr="00F53161" w:rsidRDefault="009067C0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The test is </w:t>
            </w:r>
            <w:r w:rsidR="00297AE1" w:rsidRPr="00F53161">
              <w:rPr>
                <w:rFonts w:eastAsia="Times New Roman" w:cstheme="minorHAnsi"/>
                <w:b/>
                <w:bCs/>
              </w:rPr>
              <w:t xml:space="preserve">compulsory </w:t>
            </w:r>
            <w:r w:rsidR="00297AE1" w:rsidRPr="00F53161">
              <w:rPr>
                <w:rFonts w:eastAsia="Times New Roman" w:cstheme="minorHAnsi"/>
              </w:rPr>
              <w:t>for g</w:t>
            </w:r>
            <w:r w:rsidRPr="00F53161">
              <w:rPr>
                <w:rFonts w:eastAsia="Times New Roman" w:cstheme="minorHAnsi"/>
              </w:rPr>
              <w:t xml:space="preserve">rade 12 </w:t>
            </w:r>
            <w:r w:rsidR="00B643BF" w:rsidRPr="00F53161">
              <w:rPr>
                <w:rFonts w:eastAsia="Times New Roman" w:cstheme="minorHAnsi"/>
              </w:rPr>
              <w:t xml:space="preserve">Emirati and non- Emirati students who study at the Continuing Education </w:t>
            </w:r>
            <w:r w:rsidR="0036687B" w:rsidRPr="00F53161">
              <w:rPr>
                <w:rFonts w:eastAsia="Times New Roman" w:cstheme="minorHAnsi"/>
              </w:rPr>
              <w:t>Centers.</w:t>
            </w:r>
          </w:p>
          <w:p w:rsidR="009067C0" w:rsidRPr="00F53161" w:rsidRDefault="009067C0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The test is </w:t>
            </w:r>
            <w:r w:rsidR="00297AE1" w:rsidRPr="00F53161">
              <w:rPr>
                <w:rFonts w:eastAsia="Times New Roman" w:cstheme="minorHAnsi"/>
                <w:b/>
                <w:bCs/>
              </w:rPr>
              <w:t xml:space="preserve">compulsory </w:t>
            </w:r>
            <w:r w:rsidRPr="00F53161">
              <w:rPr>
                <w:rFonts w:eastAsia="Times New Roman" w:cstheme="minorHAnsi"/>
              </w:rPr>
              <w:t xml:space="preserve">for Emirati students in private schools </w:t>
            </w:r>
            <w:r w:rsidR="001861B7" w:rsidRPr="00F53161">
              <w:rPr>
                <w:rFonts w:eastAsia="Times New Roman" w:cstheme="minorHAnsi"/>
              </w:rPr>
              <w:t>which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="00DD48CB" w:rsidRPr="00F53161">
              <w:rPr>
                <w:rFonts w:eastAsia="Times New Roman" w:cstheme="minorHAnsi"/>
              </w:rPr>
              <w:t>follows the</w:t>
            </w:r>
            <w:r w:rsidRPr="00F53161">
              <w:rPr>
                <w:rFonts w:eastAsia="Times New Roman" w:cstheme="minorHAnsi"/>
                <w:rtl/>
              </w:rPr>
              <w:t> </w:t>
            </w:r>
            <w:r w:rsidRPr="00F53161">
              <w:rPr>
                <w:rFonts w:eastAsia="Times New Roman" w:cstheme="minorHAnsi"/>
              </w:rPr>
              <w:t>international</w:t>
            </w:r>
            <w:r w:rsidRPr="00F53161">
              <w:rPr>
                <w:rFonts w:eastAsia="Times New Roman" w:cstheme="minorHAnsi"/>
                <w:rtl/>
              </w:rPr>
              <w:t> </w:t>
            </w:r>
            <w:r w:rsidR="0014739B" w:rsidRPr="00F53161">
              <w:rPr>
                <w:rFonts w:eastAsia="Times New Roman" w:cstheme="minorHAnsi"/>
              </w:rPr>
              <w:t>curricula</w:t>
            </w:r>
            <w:r w:rsidR="0014739B" w:rsidRPr="00F53161">
              <w:rPr>
                <w:rFonts w:eastAsia="Times New Roman" w:cstheme="minorHAnsi"/>
                <w:rtl/>
              </w:rPr>
              <w:t>.</w:t>
            </w:r>
          </w:p>
          <w:p w:rsidR="009067C0" w:rsidRPr="00F53161" w:rsidRDefault="00297AE1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The test is compulsory </w:t>
            </w:r>
            <w:r w:rsidRPr="00F53161">
              <w:rPr>
                <w:rFonts w:eastAsia="Times New Roman" w:cstheme="minorHAnsi"/>
              </w:rPr>
              <w:t>for</w:t>
            </w:r>
            <w:r w:rsidRPr="00F53161">
              <w:rPr>
                <w:rFonts w:eastAsia="Times New Roman" w:cstheme="minorHAnsi"/>
                <w:b/>
                <w:bCs/>
              </w:rPr>
              <w:t xml:space="preserve"> </w:t>
            </w:r>
            <w:r w:rsidR="001861B7" w:rsidRPr="00F53161">
              <w:rPr>
                <w:rFonts w:eastAsia="Times New Roman" w:cstheme="minorHAnsi"/>
              </w:rPr>
              <w:t>Emirati and</w:t>
            </w:r>
            <w:r w:rsidR="009067C0" w:rsidRPr="00F53161">
              <w:rPr>
                <w:rFonts w:eastAsia="Times New Roman" w:cstheme="minorHAnsi"/>
                <w:rtl/>
              </w:rPr>
              <w:t> </w:t>
            </w:r>
            <w:r w:rsidR="009067C0" w:rsidRPr="00F53161">
              <w:rPr>
                <w:rFonts w:eastAsia="Times New Roman" w:cstheme="minorHAnsi"/>
              </w:rPr>
              <w:t>non</w:t>
            </w:r>
            <w:r w:rsidR="00D668EB" w:rsidRPr="00F53161">
              <w:rPr>
                <w:rFonts w:eastAsia="Times New Roman" w:cstheme="minorHAnsi"/>
              </w:rPr>
              <w:t>-</w:t>
            </w:r>
            <w:r w:rsidR="001861B7" w:rsidRPr="00F53161">
              <w:rPr>
                <w:rFonts w:eastAsia="Times New Roman" w:cstheme="minorHAnsi"/>
              </w:rPr>
              <w:t xml:space="preserve">Emirati students </w:t>
            </w:r>
            <w:r w:rsidR="009067C0" w:rsidRPr="00F53161">
              <w:rPr>
                <w:rFonts w:eastAsia="Times New Roman" w:cstheme="minorHAnsi"/>
              </w:rPr>
              <w:t xml:space="preserve">wishing to complete their studies at a public </w:t>
            </w:r>
            <w:r w:rsidR="001861B7" w:rsidRPr="00F53161">
              <w:rPr>
                <w:rFonts w:eastAsia="Times New Roman" w:cstheme="minorHAnsi"/>
              </w:rPr>
              <w:t>or a private university inside the country</w:t>
            </w:r>
            <w:r w:rsidR="00BE7986" w:rsidRPr="00F53161">
              <w:rPr>
                <w:rFonts w:eastAsia="Times New Roman" w:cstheme="minorHAnsi"/>
              </w:rPr>
              <w:t>.</w:t>
            </w:r>
          </w:p>
          <w:p w:rsidR="00C052B6" w:rsidRPr="00F53161" w:rsidRDefault="00C052B6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  <w:b/>
                <w:bCs/>
              </w:rPr>
              <w:t>British Curriculum Students:</w:t>
            </w:r>
          </w:p>
          <w:p w:rsidR="00C052B6" w:rsidRPr="00F53161" w:rsidRDefault="00C052B6" w:rsidP="00C47A5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Students with British curriculum who have taken The Emirates Standard Test (EmSAT) in </w:t>
            </w:r>
            <w:r w:rsidR="00C47A5A" w:rsidRPr="00F53161">
              <w:rPr>
                <w:rFonts w:eastAsia="Times New Roman" w:cstheme="minorHAnsi"/>
              </w:rPr>
              <w:t xml:space="preserve">Year </w:t>
            </w:r>
            <w:r w:rsidRPr="00F53161">
              <w:rPr>
                <w:rFonts w:eastAsia="Times New Roman" w:cstheme="minorHAnsi"/>
              </w:rPr>
              <w:t xml:space="preserve">12 of 2018-2019 can still use their </w:t>
            </w:r>
            <w:r w:rsidR="00C47A5A" w:rsidRPr="00F53161">
              <w:rPr>
                <w:rFonts w:eastAsia="Times New Roman" w:cstheme="minorHAnsi"/>
              </w:rPr>
              <w:t>certificates,</w:t>
            </w:r>
            <w:r w:rsidRPr="00F53161">
              <w:rPr>
                <w:rFonts w:eastAsia="Times New Roman" w:cstheme="minorHAnsi"/>
              </w:rPr>
              <w:t xml:space="preserve"> as it is valid for 18 months from the date of taking the test.</w:t>
            </w:r>
          </w:p>
          <w:p w:rsidR="00C052B6" w:rsidRPr="00F53161" w:rsidRDefault="00C052B6" w:rsidP="00C052B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:rsidR="00C052B6" w:rsidRPr="00F53161" w:rsidRDefault="00C052B6" w:rsidP="00C47A5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However for current </w:t>
            </w:r>
            <w:r w:rsidR="00C47A5A" w:rsidRPr="00F53161">
              <w:rPr>
                <w:rFonts w:eastAsia="Times New Roman" w:cstheme="minorHAnsi"/>
              </w:rPr>
              <w:t xml:space="preserve">Year </w:t>
            </w:r>
            <w:r w:rsidRPr="00F53161">
              <w:rPr>
                <w:rFonts w:eastAsia="Times New Roman" w:cstheme="minorHAnsi"/>
              </w:rPr>
              <w:t>13 students who have not previously taken the test and are listed under the above categories are required to register and take EmSAT tests for this academic year.</w:t>
            </w:r>
          </w:p>
          <w:p w:rsidR="00C052B6" w:rsidRPr="00F53161" w:rsidRDefault="00C052B6" w:rsidP="00C052B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:rsidR="00BE7986" w:rsidRPr="00F53161" w:rsidRDefault="00BE7986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If the student is</w:t>
            </w:r>
            <w:r w:rsidR="00F53161">
              <w:rPr>
                <w:rFonts w:eastAsia="Times New Roman" w:cstheme="minorHAnsi"/>
              </w:rPr>
              <w:t xml:space="preserve"> </w:t>
            </w:r>
            <w:bookmarkStart w:id="0" w:name="_GoBack"/>
            <w:bookmarkEnd w:id="0"/>
            <w:r w:rsidR="00DD48CB" w:rsidRPr="00F53161">
              <w:rPr>
                <w:rFonts w:eastAsia="Times New Roman" w:cstheme="minorHAnsi"/>
              </w:rPr>
              <w:t xml:space="preserve">classified under the category of people of determination, </w:t>
            </w:r>
            <w:r w:rsidRPr="00F53161">
              <w:rPr>
                <w:rFonts w:eastAsia="Times New Roman" w:cstheme="minorHAnsi"/>
              </w:rPr>
              <w:t>the school</w:t>
            </w:r>
            <w:r w:rsidR="00DD48CB" w:rsidRPr="00F53161">
              <w:rPr>
                <w:rFonts w:eastAsia="Times New Roman" w:cstheme="minorHAnsi"/>
              </w:rPr>
              <w:t>’s</w:t>
            </w:r>
            <w:r w:rsidRPr="00F53161">
              <w:rPr>
                <w:rFonts w:eastAsia="Times New Roman" w:cstheme="minorHAnsi"/>
              </w:rPr>
              <w:t xml:space="preserve"> coordinator must register him / her</w:t>
            </w:r>
            <w:r w:rsidR="00FE1B18" w:rsidRPr="00F53161">
              <w:rPr>
                <w:rFonts w:eastAsia="Times New Roman" w:cstheme="minorHAnsi"/>
              </w:rPr>
              <w:t xml:space="preserve"> on the system by selecting the option that addresses the category </w:t>
            </w:r>
            <w:r w:rsidRPr="00F53161">
              <w:rPr>
                <w:rFonts w:eastAsia="Times New Roman" w:cstheme="minorHAnsi"/>
              </w:rPr>
              <w:t xml:space="preserve">and </w:t>
            </w:r>
            <w:r w:rsidRPr="00F53161">
              <w:rPr>
                <w:rFonts w:eastAsia="Times New Roman" w:cstheme="minorHAnsi"/>
              </w:rPr>
              <w:lastRenderedPageBreak/>
              <w:t>attach a</w:t>
            </w:r>
            <w:r w:rsidR="00FE1B18" w:rsidRPr="00F53161">
              <w:rPr>
                <w:rFonts w:eastAsia="Times New Roman" w:cstheme="minorHAnsi"/>
              </w:rPr>
              <w:t>ll</w:t>
            </w:r>
            <w:r w:rsidRPr="00F53161">
              <w:rPr>
                <w:rFonts w:eastAsia="Times New Roman" w:cstheme="minorHAnsi"/>
              </w:rPr>
              <w:t xml:space="preserve"> certified medical report</w:t>
            </w:r>
            <w:r w:rsidR="00FE1B18" w:rsidRPr="00F53161">
              <w:rPr>
                <w:rFonts w:eastAsia="Times New Roman" w:cstheme="minorHAnsi"/>
              </w:rPr>
              <w:t>s</w:t>
            </w:r>
            <w:r w:rsidRPr="00F53161">
              <w:rPr>
                <w:rFonts w:eastAsia="Times New Roman" w:cstheme="minorHAnsi"/>
              </w:rPr>
              <w:t xml:space="preserve"> of </w:t>
            </w:r>
            <w:r w:rsidR="00FE1B18" w:rsidRPr="00F53161">
              <w:rPr>
                <w:rFonts w:eastAsia="Times New Roman" w:cstheme="minorHAnsi"/>
              </w:rPr>
              <w:t>the student’s</w:t>
            </w:r>
            <w:r w:rsidRPr="00F53161">
              <w:rPr>
                <w:rFonts w:eastAsia="Times New Roman" w:cstheme="minorHAnsi"/>
              </w:rPr>
              <w:t xml:space="preserve"> health condition.</w:t>
            </w:r>
          </w:p>
          <w:p w:rsidR="009067C0" w:rsidRPr="00F53161" w:rsidRDefault="0074117A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 xml:space="preserve">If the student </w:t>
            </w:r>
            <w:r w:rsidR="00004A58" w:rsidRPr="00F53161">
              <w:rPr>
                <w:rFonts w:eastAsia="Times New Roman" w:cstheme="minorHAnsi"/>
              </w:rPr>
              <w:t>has a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="00004A58" w:rsidRPr="00F53161">
              <w:rPr>
                <w:rFonts w:eastAsia="Times New Roman" w:cstheme="minorHAnsi"/>
              </w:rPr>
              <w:t>special case in which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="00004A58" w:rsidRPr="00F53161">
              <w:rPr>
                <w:rFonts w:eastAsia="Times New Roman" w:cstheme="minorHAnsi"/>
              </w:rPr>
              <w:t>he/she does</w:t>
            </w:r>
            <w:r w:rsidRPr="00F53161">
              <w:rPr>
                <w:rFonts w:eastAsia="Times New Roman" w:cstheme="minorHAnsi"/>
              </w:rPr>
              <w:t xml:space="preserve"> not hold </w:t>
            </w:r>
            <w:r w:rsidR="00297AE1" w:rsidRPr="00F53161">
              <w:rPr>
                <w:rFonts w:eastAsia="Times New Roman" w:cstheme="minorHAnsi"/>
              </w:rPr>
              <w:t>an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="00004A58" w:rsidRPr="00F53161">
              <w:rPr>
                <w:rFonts w:eastAsia="Times New Roman" w:cstheme="minorHAnsi"/>
              </w:rPr>
              <w:t>Emirates ID</w:t>
            </w:r>
            <w:r w:rsidRPr="00F53161">
              <w:rPr>
                <w:rFonts w:eastAsia="Times New Roman" w:cstheme="minorHAnsi"/>
              </w:rPr>
              <w:t xml:space="preserve"> for any reason,</w:t>
            </w:r>
            <w:r w:rsidR="00297AE1" w:rsidRPr="00F53161">
              <w:rPr>
                <w:rFonts w:eastAsia="Times New Roman" w:cstheme="minorHAnsi"/>
              </w:rPr>
              <w:t xml:space="preserve"> he/she</w:t>
            </w:r>
            <w:r w:rsidRPr="00F53161">
              <w:rPr>
                <w:rFonts w:eastAsia="Times New Roman" w:cstheme="minorHAnsi"/>
              </w:rPr>
              <w:t xml:space="preserve"> must send </w:t>
            </w:r>
            <w:r w:rsidR="00297AE1" w:rsidRPr="00F53161">
              <w:rPr>
                <w:rFonts w:eastAsia="Times New Roman" w:cstheme="minorHAnsi"/>
              </w:rPr>
              <w:t xml:space="preserve">all the </w:t>
            </w:r>
            <w:r w:rsidRPr="00F53161">
              <w:rPr>
                <w:rFonts w:eastAsia="Times New Roman" w:cstheme="minorHAnsi"/>
              </w:rPr>
              <w:t xml:space="preserve">identification papers </w:t>
            </w:r>
            <w:r w:rsidR="00297AE1" w:rsidRPr="00F53161">
              <w:rPr>
                <w:rFonts w:eastAsia="Times New Roman" w:cstheme="minorHAnsi"/>
              </w:rPr>
              <w:t>or proof of the</w:t>
            </w:r>
            <w:r w:rsidRPr="00F53161">
              <w:rPr>
                <w:rFonts w:eastAsia="Times New Roman" w:cstheme="minorHAnsi"/>
              </w:rPr>
              <w:t xml:space="preserve"> reason </w:t>
            </w:r>
            <w:r w:rsidR="00297AE1" w:rsidRPr="00F53161">
              <w:rPr>
                <w:rFonts w:eastAsia="Times New Roman" w:cstheme="minorHAnsi"/>
              </w:rPr>
              <w:t>of</w:t>
            </w:r>
            <w:r w:rsidRPr="00F53161">
              <w:rPr>
                <w:rFonts w:eastAsia="Times New Roman" w:cstheme="minorHAnsi"/>
              </w:rPr>
              <w:t xml:space="preserve"> not having the identity </w:t>
            </w:r>
            <w:r w:rsidR="00297AE1" w:rsidRPr="00F53161">
              <w:rPr>
                <w:rFonts w:eastAsia="Times New Roman" w:cstheme="minorHAnsi"/>
              </w:rPr>
              <w:t xml:space="preserve">through </w:t>
            </w:r>
            <w:r w:rsidRPr="00F53161">
              <w:rPr>
                <w:rFonts w:eastAsia="Times New Roman" w:cstheme="minorHAnsi"/>
              </w:rPr>
              <w:t>the contact page on the website. (</w:t>
            </w:r>
            <w:r w:rsidR="009067C0" w:rsidRPr="00F53161">
              <w:rPr>
                <w:rFonts w:eastAsia="Times New Roman" w:cstheme="minorHAnsi"/>
              </w:rPr>
              <w:t>Co</w:t>
            </w:r>
            <w:r w:rsidR="00D668EB" w:rsidRPr="00F53161">
              <w:rPr>
                <w:rFonts w:eastAsia="Times New Roman" w:cstheme="minorHAnsi"/>
              </w:rPr>
              <w:t>ntact us)</w:t>
            </w:r>
          </w:p>
          <w:p w:rsidR="00004A58" w:rsidRPr="00F53161" w:rsidRDefault="00382E32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Emirates Standard Test (EmSAT) is a </w:t>
            </w:r>
            <w:r w:rsidRPr="00F53161">
              <w:rPr>
                <w:rFonts w:eastAsia="Times New Roman" w:cstheme="minorHAnsi"/>
                <w:b/>
                <w:bCs/>
              </w:rPr>
              <w:t>prerequisite for university admission</w:t>
            </w:r>
            <w:r w:rsidRPr="00F53161">
              <w:rPr>
                <w:rFonts w:eastAsia="Times New Roman" w:cstheme="minorHAnsi"/>
              </w:rPr>
              <w:t xml:space="preserve"> to </w:t>
            </w:r>
            <w:r w:rsidR="00297AE1" w:rsidRPr="00F53161">
              <w:rPr>
                <w:rFonts w:eastAsia="Times New Roman" w:cstheme="minorHAnsi"/>
              </w:rPr>
              <w:t xml:space="preserve">public and private </w:t>
            </w:r>
            <w:r w:rsidRPr="00F53161">
              <w:rPr>
                <w:rFonts w:eastAsia="Times New Roman" w:cstheme="minorHAnsi"/>
              </w:rPr>
              <w:t>universities and colleges.</w:t>
            </w:r>
          </w:p>
          <w:p w:rsidR="005521E8" w:rsidRPr="00F53161" w:rsidRDefault="00004A58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Emirates Standard Test (EmSAT) is </w:t>
            </w:r>
            <w:r w:rsidR="005521E8" w:rsidRPr="00F53161">
              <w:rPr>
                <w:rFonts w:eastAsia="Times New Roman" w:cstheme="minorHAnsi"/>
              </w:rPr>
              <w:t xml:space="preserve">a </w:t>
            </w:r>
            <w:r w:rsidR="005521E8" w:rsidRPr="00F53161">
              <w:rPr>
                <w:rFonts w:eastAsia="Times New Roman" w:cstheme="minorHAnsi"/>
                <w:b/>
                <w:bCs/>
              </w:rPr>
              <w:t>prerequisite for scholarship admissions</w:t>
            </w:r>
            <w:r w:rsidR="005521E8" w:rsidRPr="00F53161">
              <w:rPr>
                <w:rFonts w:eastAsia="Times New Roman" w:cstheme="minorHAnsi"/>
              </w:rPr>
              <w:t xml:space="preserve"> via Higher Education Institutes and the Crown Prince Court.</w:t>
            </w:r>
          </w:p>
          <w:p w:rsidR="00004A58" w:rsidRPr="00F53161" w:rsidRDefault="005521E8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score of EmSAT tests in public schools represents </w:t>
            </w:r>
            <w:r w:rsidRPr="00F53161">
              <w:rPr>
                <w:rFonts w:eastAsia="Times New Roman" w:cstheme="minorHAnsi"/>
                <w:b/>
                <w:bCs/>
              </w:rPr>
              <w:t>10% of the student’s total score</w:t>
            </w:r>
            <w:r w:rsidRPr="00F53161">
              <w:rPr>
                <w:rFonts w:eastAsia="Times New Roman" w:cstheme="minorHAnsi"/>
              </w:rPr>
              <w:t>. The EmSAT score replaces the weight of the formative assessment in the third semester for grade 12</w:t>
            </w:r>
            <w:r w:rsidR="00FB2374" w:rsidRPr="00F53161">
              <w:rPr>
                <w:rFonts w:eastAsia="Times New Roman" w:cstheme="minorHAnsi"/>
              </w:rPr>
              <w:t>.</w:t>
            </w:r>
          </w:p>
          <w:p w:rsidR="00FB2374" w:rsidRPr="00F53161" w:rsidRDefault="00FB2374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</w:rPr>
              <w:t xml:space="preserve">Students who are expected to apply for National Service must ensure that the test is completed </w:t>
            </w:r>
            <w:r w:rsidRPr="00F53161">
              <w:rPr>
                <w:rFonts w:eastAsia="Times New Roman" w:cstheme="minorHAnsi"/>
                <w:b/>
                <w:bCs/>
              </w:rPr>
              <w:t>before the date of joining the service.</w:t>
            </w:r>
          </w:p>
          <w:p w:rsidR="00FB2374" w:rsidRPr="00F53161" w:rsidRDefault="00FB2374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test is offered for the following subjects for all targeted students (Emirati and non-Emirati): </w:t>
            </w:r>
          </w:p>
          <w:p w:rsidR="00FB2374" w:rsidRPr="00F53161" w:rsidRDefault="00FB2374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English Language </w:t>
            </w:r>
          </w:p>
          <w:p w:rsidR="00F17012" w:rsidRPr="00F53161" w:rsidRDefault="00F17012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Arabic Language </w:t>
            </w:r>
          </w:p>
          <w:p w:rsidR="00FB2374" w:rsidRPr="00F53161" w:rsidRDefault="00FB2374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Mathematics </w:t>
            </w:r>
          </w:p>
          <w:p w:rsidR="00FB2374" w:rsidRPr="00F53161" w:rsidRDefault="00FB2374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>Physics (</w:t>
            </w:r>
            <w:r w:rsidRPr="00F53161">
              <w:rPr>
                <w:rFonts w:eastAsia="Times New Roman" w:cstheme="minorHAnsi"/>
                <w:b/>
                <w:bCs/>
              </w:rPr>
              <w:t>Physics is considered compulsory</w:t>
            </w:r>
            <w:r w:rsidRPr="00F53161">
              <w:rPr>
                <w:rFonts w:eastAsia="Times New Roman" w:cstheme="minorHAnsi"/>
              </w:rPr>
              <w:t xml:space="preserve"> even if the student does not study Physics in grade 12) </w:t>
            </w:r>
          </w:p>
          <w:p w:rsidR="00FB2374" w:rsidRPr="00F53161" w:rsidRDefault="00FB2374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Chemistry (for </w:t>
            </w:r>
            <w:r w:rsidRPr="00F53161">
              <w:rPr>
                <w:rFonts w:eastAsia="Times New Roman" w:cstheme="minorHAnsi"/>
                <w:b/>
                <w:bCs/>
              </w:rPr>
              <w:t>the Advanced track</w:t>
            </w:r>
            <w:r w:rsidRPr="00F53161">
              <w:rPr>
                <w:rFonts w:eastAsia="Times New Roman" w:cstheme="minorHAnsi"/>
              </w:rPr>
              <w:t xml:space="preserve"> or equivalent) </w:t>
            </w:r>
          </w:p>
          <w:p w:rsidR="00FB2374" w:rsidRPr="00F53161" w:rsidRDefault="00F17012" w:rsidP="00C052B6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>Biology</w:t>
            </w:r>
            <w:r w:rsidR="0034395A" w:rsidRPr="00F53161">
              <w:rPr>
                <w:rFonts w:eastAsia="Times New Roman" w:cstheme="minorHAnsi"/>
              </w:rPr>
              <w:t xml:space="preserve"> and </w:t>
            </w:r>
            <w:r w:rsidR="00FB2374" w:rsidRPr="00F53161">
              <w:rPr>
                <w:rFonts w:eastAsia="Times New Roman" w:cstheme="minorHAnsi"/>
              </w:rPr>
              <w:t>Computer Science</w:t>
            </w:r>
            <w:r w:rsidR="0034395A" w:rsidRPr="00F53161">
              <w:rPr>
                <w:rFonts w:eastAsia="Times New Roman" w:cstheme="minorHAnsi"/>
              </w:rPr>
              <w:t xml:space="preserve"> (Decision will be  determined later)</w:t>
            </w:r>
          </w:p>
          <w:p w:rsidR="00FB2374" w:rsidRPr="00F53161" w:rsidRDefault="00956709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Test specifications, performance levels, and sample test questions are available on </w:t>
            </w:r>
            <w:r w:rsidR="00297AE1" w:rsidRPr="00F53161">
              <w:rPr>
                <w:rFonts w:eastAsia="Times New Roman" w:cstheme="minorHAnsi"/>
              </w:rPr>
              <w:t>EmSAT</w:t>
            </w:r>
            <w:r w:rsidRPr="00F53161">
              <w:rPr>
                <w:rFonts w:eastAsia="Times New Roman" w:cstheme="minorHAnsi"/>
              </w:rPr>
              <w:t xml:space="preserve"> website.</w:t>
            </w:r>
          </w:p>
          <w:p w:rsidR="00956709" w:rsidRPr="00F53161" w:rsidRDefault="00956709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>Information about registration processes, test policies, test instructions, and registration dates and test centers are available on the website.</w:t>
            </w:r>
          </w:p>
          <w:p w:rsidR="00956709" w:rsidRPr="00F53161" w:rsidRDefault="00956709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If there were </w:t>
            </w:r>
            <w:r w:rsidRPr="00F53161">
              <w:rPr>
                <w:rFonts w:eastAsia="Times New Roman" w:cstheme="minorHAnsi"/>
                <w:b/>
                <w:bCs/>
              </w:rPr>
              <w:t>any changes to the data</w:t>
            </w:r>
            <w:r w:rsidRPr="00F53161">
              <w:rPr>
                <w:rFonts w:eastAsia="Times New Roman" w:cstheme="minorHAnsi"/>
              </w:rPr>
              <w:t xml:space="preserve"> of the school coordinators, kindly send the update</w:t>
            </w:r>
            <w:r w:rsidR="004268DF" w:rsidRPr="00F53161">
              <w:rPr>
                <w:rFonts w:eastAsia="Times New Roman" w:cstheme="minorHAnsi"/>
              </w:rPr>
              <w:t xml:space="preserve"> record</w:t>
            </w:r>
            <w:r w:rsidRPr="00F53161">
              <w:rPr>
                <w:rFonts w:eastAsia="Times New Roman" w:cstheme="minorHAnsi"/>
              </w:rPr>
              <w:t xml:space="preserve"> to</w:t>
            </w:r>
            <w:r w:rsidR="00C741C2" w:rsidRPr="00F53161">
              <w:rPr>
                <w:rFonts w:eastAsia="Times New Roman" w:cstheme="minorHAnsi"/>
              </w:rPr>
              <w:t xml:space="preserve"> Mrs. Ayesha Alz</w:t>
            </w:r>
            <w:r w:rsidRPr="00F53161">
              <w:rPr>
                <w:rFonts w:eastAsia="Times New Roman" w:cstheme="minorHAnsi"/>
              </w:rPr>
              <w:t xml:space="preserve">aabi at </w:t>
            </w:r>
            <w:hyperlink r:id="rId8" w:history="1">
              <w:r w:rsidR="00D668EB" w:rsidRPr="00F53161">
                <w:rPr>
                  <w:rStyle w:val="Hyperlink"/>
                  <w:rFonts w:cstheme="minorHAnsi"/>
                </w:rPr>
                <w:t>Ayesha.Alzaabi@moe.gov.ae</w:t>
              </w:r>
            </w:hyperlink>
            <w:r w:rsidR="00D668EB" w:rsidRPr="00F53161">
              <w:rPr>
                <w:rFonts w:eastAsia="Times New Roman" w:cstheme="minorHAnsi"/>
              </w:rPr>
              <w:t xml:space="preserve">, </w:t>
            </w:r>
            <w:r w:rsidRPr="00F53161">
              <w:rPr>
                <w:rFonts w:eastAsia="Times New Roman" w:cstheme="minorHAnsi"/>
              </w:rPr>
              <w:t xml:space="preserve">and Mrs. Aisha Almakhmary at </w:t>
            </w:r>
            <w:hyperlink r:id="rId9" w:history="1">
              <w:r w:rsidRPr="00F53161">
                <w:rPr>
                  <w:rStyle w:val="Hyperlink"/>
                  <w:rFonts w:cstheme="minorHAnsi"/>
                </w:rPr>
                <w:t>Aisha.Almakhmary@moe.gov.ae</w:t>
              </w:r>
            </w:hyperlink>
            <w:r w:rsidRPr="00F53161">
              <w:rPr>
                <w:rStyle w:val="Hyperlink"/>
                <w:rFonts w:cstheme="minorHAnsi"/>
              </w:rPr>
              <w:t>.</w:t>
            </w:r>
            <w:r w:rsidRPr="00F53161">
              <w:rPr>
                <w:rFonts w:eastAsia="Times New Roman" w:cstheme="minorHAnsi"/>
              </w:rPr>
              <w:t xml:space="preserve"> </w:t>
            </w:r>
          </w:p>
          <w:p w:rsidR="00E93A3D" w:rsidRPr="00F53161" w:rsidRDefault="00E93A3D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</w:t>
            </w:r>
            <w:r w:rsidRPr="00F53161">
              <w:rPr>
                <w:rFonts w:eastAsia="Times New Roman" w:cstheme="minorHAnsi"/>
                <w:b/>
                <w:bCs/>
              </w:rPr>
              <w:t>school principal and coordinator</w:t>
            </w:r>
            <w:r w:rsidRPr="00F53161">
              <w:rPr>
                <w:rFonts w:eastAsia="Times New Roman" w:cstheme="minorHAnsi"/>
              </w:rPr>
              <w:t xml:space="preserve"> must ensure that all the </w:t>
            </w:r>
            <w:r w:rsidRPr="00F53161">
              <w:rPr>
                <w:rFonts w:eastAsia="Times New Roman" w:cstheme="minorHAnsi"/>
                <w:b/>
                <w:bCs/>
              </w:rPr>
              <w:t>targeted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Pr="00F53161">
              <w:rPr>
                <w:rFonts w:eastAsia="Times New Roman" w:cstheme="minorHAnsi"/>
                <w:b/>
                <w:bCs/>
              </w:rPr>
              <w:t>students for the test are registered</w:t>
            </w:r>
            <w:r w:rsidRPr="00F53161">
              <w:rPr>
                <w:rFonts w:eastAsia="Times New Roman" w:cstheme="minorHAnsi"/>
              </w:rPr>
              <w:t xml:space="preserve"> through the card reader during the period of </w:t>
            </w:r>
            <w:r w:rsidRPr="00F53161">
              <w:rPr>
                <w:rFonts w:eastAsia="Times New Roman" w:cstheme="minorHAnsi"/>
                <w:b/>
                <w:bCs/>
              </w:rPr>
              <w:t>September 22</w:t>
            </w:r>
            <w:r w:rsidR="00D668EB" w:rsidRPr="00F53161">
              <w:rPr>
                <w:rFonts w:eastAsia="Times New Roman" w:cstheme="minorHAnsi"/>
                <w:b/>
                <w:bCs/>
                <w:vertAlign w:val="superscript"/>
              </w:rPr>
              <w:t>nd</w:t>
            </w:r>
            <w:r w:rsidR="00D668EB" w:rsidRPr="00F53161">
              <w:rPr>
                <w:rFonts w:eastAsia="Times New Roman" w:cstheme="minorHAnsi"/>
                <w:b/>
                <w:bCs/>
              </w:rPr>
              <w:t xml:space="preserve"> </w:t>
            </w:r>
            <w:r w:rsidRPr="00F53161">
              <w:rPr>
                <w:rFonts w:eastAsia="Times New Roman" w:cstheme="minorHAnsi"/>
                <w:b/>
                <w:bCs/>
              </w:rPr>
              <w:t>to September 30</w:t>
            </w:r>
            <w:r w:rsidRPr="00F53161">
              <w:rPr>
                <w:rFonts w:eastAsia="Times New Roman" w:cstheme="minorHAnsi"/>
                <w:b/>
                <w:bCs/>
                <w:vertAlign w:val="superscript"/>
              </w:rPr>
              <w:t>th</w:t>
            </w:r>
            <w:r w:rsidRPr="00F53161">
              <w:rPr>
                <w:rFonts w:eastAsia="Times New Roman" w:cstheme="minorHAnsi"/>
                <w:b/>
                <w:bCs/>
              </w:rPr>
              <w:t>, 2019.</w:t>
            </w:r>
          </w:p>
          <w:p w:rsidR="00C741C2" w:rsidRPr="00F53161" w:rsidRDefault="00C741C2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school principal, coordinator or academic advisor are </w:t>
            </w:r>
            <w:r w:rsidRPr="00F53161">
              <w:rPr>
                <w:rFonts w:eastAsia="Times New Roman" w:cstheme="minorHAnsi"/>
                <w:b/>
                <w:bCs/>
              </w:rPr>
              <w:t>fully responsible</w:t>
            </w:r>
            <w:r w:rsidRPr="00F53161">
              <w:rPr>
                <w:rFonts w:eastAsia="Times New Roman" w:cstheme="minorHAnsi"/>
              </w:rPr>
              <w:t xml:space="preserve"> for ensuring that all targeted students </w:t>
            </w:r>
            <w:r w:rsidR="004268DF" w:rsidRPr="00F53161">
              <w:rPr>
                <w:rFonts w:eastAsia="Times New Roman" w:cstheme="minorHAnsi"/>
              </w:rPr>
              <w:t xml:space="preserve">are registered through card reader and students </w:t>
            </w:r>
            <w:r w:rsidR="00781996" w:rsidRPr="00F53161">
              <w:rPr>
                <w:rFonts w:eastAsia="Times New Roman" w:cstheme="minorHAnsi"/>
              </w:rPr>
              <w:t>ensuring</w:t>
            </w:r>
            <w:r w:rsidR="004268DF" w:rsidRPr="00F53161">
              <w:rPr>
                <w:rFonts w:eastAsia="Times New Roman" w:cstheme="minorHAnsi"/>
              </w:rPr>
              <w:t xml:space="preserve"> that all the targeted students </w:t>
            </w:r>
            <w:r w:rsidRPr="00F53161">
              <w:rPr>
                <w:rFonts w:eastAsia="Times New Roman" w:cstheme="minorHAnsi"/>
              </w:rPr>
              <w:t xml:space="preserve">are registered </w:t>
            </w:r>
            <w:r w:rsidR="004268DF" w:rsidRPr="00F53161">
              <w:rPr>
                <w:rFonts w:eastAsia="Times New Roman" w:cstheme="minorHAnsi"/>
              </w:rPr>
              <w:t xml:space="preserve">for all subjects </w:t>
            </w:r>
            <w:r w:rsidRPr="00F53161">
              <w:rPr>
                <w:rFonts w:eastAsia="Times New Roman" w:cstheme="minorHAnsi"/>
              </w:rPr>
              <w:t>according to their academic track and bear any consequences for delay.</w:t>
            </w:r>
          </w:p>
          <w:p w:rsidR="009067C0" w:rsidRPr="00F53161" w:rsidRDefault="006D6A94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The student will be able to choose the dates and place of the tests through </w:t>
            </w:r>
            <w:r w:rsidRPr="00F53161">
              <w:rPr>
                <w:rFonts w:eastAsia="Times New Roman" w:cstheme="minorHAnsi"/>
                <w:b/>
                <w:bCs/>
              </w:rPr>
              <w:t>his/her own account</w:t>
            </w:r>
            <w:r w:rsidRPr="00F53161">
              <w:rPr>
                <w:rFonts w:eastAsia="Times New Roman" w:cstheme="minorHAnsi"/>
              </w:rPr>
              <w:t xml:space="preserve"> on the EmSAT portal.</w:t>
            </w:r>
          </w:p>
          <w:p w:rsidR="006D6A94" w:rsidRPr="00F53161" w:rsidRDefault="006D6A94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lastRenderedPageBreak/>
              <w:t xml:space="preserve">Please </w:t>
            </w:r>
            <w:r w:rsidRPr="00F53161">
              <w:rPr>
                <w:rFonts w:eastAsia="Times New Roman" w:cstheme="minorHAnsi"/>
                <w:b/>
                <w:bCs/>
              </w:rPr>
              <w:t>encourage students</w:t>
            </w:r>
            <w:r w:rsidRPr="00F53161">
              <w:rPr>
                <w:rFonts w:eastAsia="Times New Roman" w:cstheme="minorHAnsi"/>
              </w:rPr>
              <w:t xml:space="preserve"> to register as soon as the registration is open, note that twelve test sessions will be available during this academic year 2019-2020.</w:t>
            </w:r>
          </w:p>
          <w:p w:rsidR="005241B2" w:rsidRPr="00F53161" w:rsidRDefault="00907CBF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Please inform the students that </w:t>
            </w:r>
            <w:r w:rsidRPr="00F53161">
              <w:rPr>
                <w:rFonts w:eastAsia="Times New Roman" w:cstheme="minorHAnsi"/>
                <w:b/>
                <w:bCs/>
              </w:rPr>
              <w:t>if they are absent</w:t>
            </w:r>
            <w:r w:rsidRPr="00F53161">
              <w:rPr>
                <w:rFonts w:eastAsia="Times New Roman" w:cstheme="minorHAnsi"/>
              </w:rPr>
              <w:t xml:space="preserve">, they must provide a documented and acceptable excuse on the “contact us” page on the website. Decisions will be made after the special committee review the cases.  </w:t>
            </w:r>
          </w:p>
          <w:p w:rsidR="001625BA" w:rsidRPr="00F53161" w:rsidRDefault="001625BA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 xml:space="preserve">School principals should </w:t>
            </w:r>
            <w:r w:rsidR="005241B2" w:rsidRPr="00F53161">
              <w:rPr>
                <w:rFonts w:eastAsia="Times New Roman" w:cstheme="minorHAnsi"/>
              </w:rPr>
              <w:t xml:space="preserve">make the students aware of the importance of EmSAT, as it will effect there university or scholarships applications. </w:t>
            </w:r>
          </w:p>
          <w:p w:rsidR="00DF241D" w:rsidRPr="00F53161" w:rsidRDefault="007F533C" w:rsidP="00C052B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</w:rPr>
              <w:t xml:space="preserve">The results of EmSAT Achieve (Grade 12) are considered a tool that assists in making decisions that will develop </w:t>
            </w:r>
            <w:r w:rsidR="004268DF" w:rsidRPr="00F53161">
              <w:rPr>
                <w:rFonts w:eastAsia="Times New Roman" w:cstheme="minorHAnsi"/>
              </w:rPr>
              <w:t>UAE educational system.</w:t>
            </w:r>
          </w:p>
          <w:p w:rsidR="00C052B6" w:rsidRPr="00F53161" w:rsidRDefault="00C052B6" w:rsidP="00C052B6">
            <w:pPr>
              <w:pStyle w:val="ListParagraph"/>
              <w:spacing w:after="0" w:line="240" w:lineRule="auto"/>
              <w:ind w:left="882"/>
              <w:rPr>
                <w:rFonts w:eastAsia="Times New Roman" w:cstheme="minorHAnsi"/>
                <w:b/>
                <w:bCs/>
              </w:rPr>
            </w:pPr>
          </w:p>
          <w:p w:rsidR="00D668EB" w:rsidRPr="00F53161" w:rsidRDefault="00D668EB" w:rsidP="00D668EB">
            <w:pPr>
              <w:pStyle w:val="ListParagraph"/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  <w:b/>
                <w:bCs/>
              </w:rPr>
              <w:t>The Emirates Standardized Test is a national project aimed to improve the level of education, with your support and commitment.</w:t>
            </w:r>
          </w:p>
          <w:p w:rsidR="00DF241D" w:rsidRPr="00F53161" w:rsidRDefault="00DF241D" w:rsidP="00D668EB">
            <w:pPr>
              <w:pStyle w:val="ListParagraph"/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</w:tr>
      <w:tr w:rsidR="009067C0" w:rsidRPr="00F53161" w:rsidTr="00F63B22">
        <w:trPr>
          <w:trHeight w:val="724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382E32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lastRenderedPageBreak/>
              <w:t>Sent to: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4268DF" w:rsidP="004268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F53161">
              <w:rPr>
                <w:rFonts w:eastAsia="Times New Roman" w:cstheme="minorHAnsi"/>
                <w:b/>
                <w:bCs/>
              </w:rPr>
              <w:t>Sector Managers</w:t>
            </w:r>
            <w:r w:rsidR="009067C0" w:rsidRPr="00F53161">
              <w:rPr>
                <w:rFonts w:eastAsia="Times New Roman" w:cstheme="minorHAnsi"/>
                <w:b/>
                <w:bCs/>
              </w:rPr>
              <w:t xml:space="preserve">, </w:t>
            </w:r>
            <w:r w:rsidRPr="00F53161">
              <w:rPr>
                <w:rFonts w:eastAsia="Times New Roman" w:cstheme="minorHAnsi"/>
                <w:b/>
                <w:bCs/>
              </w:rPr>
              <w:t>Clusters</w:t>
            </w:r>
            <w:r w:rsidR="009067C0" w:rsidRPr="00F53161">
              <w:rPr>
                <w:rFonts w:eastAsia="Times New Roman" w:cstheme="minorHAnsi"/>
                <w:b/>
                <w:bCs/>
              </w:rPr>
              <w:t>, schools</w:t>
            </w:r>
            <w:r w:rsidRPr="00F53161">
              <w:rPr>
                <w:rFonts w:eastAsia="Times New Roman" w:cstheme="minorHAnsi"/>
                <w:b/>
                <w:bCs/>
              </w:rPr>
              <w:t>,</w:t>
            </w:r>
            <w:r w:rsidR="009067C0" w:rsidRPr="00F53161">
              <w:rPr>
                <w:rFonts w:eastAsia="Times New Roman" w:cstheme="minorHAnsi"/>
                <w:b/>
                <w:bCs/>
              </w:rPr>
              <w:t xml:space="preserve"> </w:t>
            </w:r>
            <w:r w:rsidRPr="00F53161">
              <w:rPr>
                <w:rFonts w:eastAsia="Times New Roman" w:cstheme="minorHAnsi"/>
                <w:b/>
                <w:bCs/>
              </w:rPr>
              <w:t>EmSAT coordinators</w:t>
            </w:r>
            <w:r w:rsidRPr="00F53161">
              <w:rPr>
                <w:rFonts w:eastAsia="Times New Roman" w:cstheme="minorHAnsi"/>
                <w:b/>
                <w:bCs/>
                <w:rtl/>
              </w:rPr>
              <w:t>,</w:t>
            </w:r>
            <w:r w:rsidRPr="00F53161">
              <w:rPr>
                <w:rFonts w:eastAsia="Times New Roman" w:cstheme="minorHAnsi"/>
                <w:b/>
                <w:bCs/>
              </w:rPr>
              <w:t xml:space="preserve"> and to whom it may concern.</w:t>
            </w:r>
          </w:p>
        </w:tc>
      </w:tr>
      <w:tr w:rsidR="009067C0" w:rsidRPr="00F53161" w:rsidTr="007E0DB2">
        <w:trPr>
          <w:trHeight w:val="1551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382E32" w:rsidP="00382E32">
            <w:pPr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Contact Information (For Inquiries)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4268DF" w:rsidP="004268DF">
            <w:pPr>
              <w:bidi/>
              <w:spacing w:after="0" w:line="240" w:lineRule="auto"/>
              <w:jc w:val="center"/>
              <w:rPr>
                <w:rFonts w:cstheme="minorHAnsi"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For </w:t>
            </w:r>
            <w:r w:rsidR="00B822C9" w:rsidRPr="00F53161">
              <w:rPr>
                <w:rFonts w:eastAsia="Times New Roman" w:cstheme="minorHAnsi"/>
                <w:b/>
                <w:bCs/>
              </w:rPr>
              <w:t xml:space="preserve">Technical inquiries: (Registration, non-receipt of username and password), please contact the technical support team at </w:t>
            </w:r>
            <w:hyperlink r:id="rId10" w:history="1">
              <w:r w:rsidR="00B822C9" w:rsidRPr="00F53161">
                <w:rPr>
                  <w:rStyle w:val="Hyperlink"/>
                  <w:rFonts w:cstheme="minorHAnsi"/>
                </w:rPr>
                <w:t>SD@moe.gov.ae</w:t>
              </w:r>
            </w:hyperlink>
            <w:r w:rsidRPr="00F53161">
              <w:rPr>
                <w:rFonts w:eastAsia="Times New Roman" w:cstheme="minorHAnsi"/>
                <w:b/>
                <w:bCs/>
              </w:rPr>
              <w:t xml:space="preserve"> </w:t>
            </w:r>
          </w:p>
          <w:p w:rsidR="00B822C9" w:rsidRPr="00F53161" w:rsidRDefault="00B822C9" w:rsidP="00B822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F53161">
              <w:rPr>
                <w:rFonts w:eastAsia="Times New Roman" w:cstheme="minorHAnsi"/>
                <w:b/>
                <w:bCs/>
              </w:rPr>
              <w:t xml:space="preserve">If you are interested in testing related matters, please contact us at emsat.moe.gov.ae </w:t>
            </w:r>
          </w:p>
          <w:p w:rsidR="00B822C9" w:rsidRPr="00F53161" w:rsidRDefault="00B822C9" w:rsidP="00B822C9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</w:tr>
      <w:tr w:rsidR="009067C0" w:rsidRPr="00F53161" w:rsidTr="00F63B22">
        <w:trPr>
          <w:trHeight w:val="724"/>
        </w:trPr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9067C0" w:rsidP="009067C0">
            <w:pPr>
              <w:bidi/>
              <w:spacing w:after="0" w:line="240" w:lineRule="auto"/>
              <w:jc w:val="center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Attachments (if any)</w:t>
            </w:r>
          </w:p>
        </w:tc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7C0" w:rsidRPr="00F53161" w:rsidRDefault="007E0DB2" w:rsidP="00834A84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jc w:val="both"/>
              <w:rPr>
                <w:rFonts w:eastAsia="Times New Roman" w:cstheme="minorHAnsi"/>
              </w:rPr>
            </w:pPr>
            <w:r w:rsidRPr="00F53161">
              <w:rPr>
                <w:rFonts w:eastAsia="Times New Roman" w:cstheme="minorHAnsi"/>
              </w:rPr>
              <w:t xml:space="preserve">If the card reader was not installed earlier, kindly </w:t>
            </w:r>
            <w:r w:rsidR="00834A84" w:rsidRPr="00F53161">
              <w:rPr>
                <w:rFonts w:eastAsia="Times New Roman" w:cstheme="minorHAnsi"/>
              </w:rPr>
              <w:t>use</w:t>
            </w:r>
            <w:r w:rsidR="004268DF" w:rsidRPr="00F53161">
              <w:rPr>
                <w:rFonts w:eastAsia="Times New Roman" w:cstheme="minorHAnsi"/>
              </w:rPr>
              <w:t xml:space="preserve"> the link bel</w:t>
            </w:r>
            <w:r w:rsidRPr="00F53161">
              <w:rPr>
                <w:rFonts w:eastAsia="Times New Roman" w:cstheme="minorHAnsi"/>
              </w:rPr>
              <w:t xml:space="preserve">ow </w:t>
            </w:r>
            <w:r w:rsidR="00834A84" w:rsidRPr="00F53161">
              <w:rPr>
                <w:rFonts w:eastAsia="Times New Roman" w:cstheme="minorHAnsi"/>
              </w:rPr>
              <w:t>and use the same computer in order to register students in EmSAT’s system.</w:t>
            </w:r>
          </w:p>
          <w:p w:rsidR="00834A84" w:rsidRPr="00F53161" w:rsidRDefault="00834A84" w:rsidP="004268D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jc w:val="both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Kindly inform the technician</w:t>
            </w:r>
            <w:r w:rsidR="004268DF" w:rsidRPr="00F53161">
              <w:rPr>
                <w:rFonts w:eastAsia="Times New Roman" w:cstheme="minorHAnsi"/>
              </w:rPr>
              <w:t>s from your side to install it and you could find a</w:t>
            </w:r>
            <w:r w:rsidRPr="00F53161">
              <w:rPr>
                <w:rFonts w:eastAsia="Times New Roman" w:cstheme="minorHAnsi"/>
              </w:rPr>
              <w:t xml:space="preserve"> video which represents the registration </w:t>
            </w:r>
            <w:r w:rsidR="004268DF" w:rsidRPr="00F53161">
              <w:rPr>
                <w:rFonts w:eastAsia="Times New Roman" w:cstheme="minorHAnsi"/>
              </w:rPr>
              <w:t>process</w:t>
            </w:r>
            <w:r w:rsidRPr="00F53161">
              <w:rPr>
                <w:rFonts w:eastAsia="Times New Roman" w:cstheme="minorHAnsi"/>
              </w:rPr>
              <w:t xml:space="preserve"> </w:t>
            </w:r>
            <w:r w:rsidR="004268DF" w:rsidRPr="00F53161">
              <w:rPr>
                <w:rFonts w:eastAsia="Times New Roman" w:cstheme="minorHAnsi"/>
              </w:rPr>
              <w:t>with an</w:t>
            </w:r>
            <w:r w:rsidRPr="00F53161">
              <w:rPr>
                <w:rFonts w:eastAsia="Times New Roman" w:cstheme="minorHAnsi"/>
              </w:rPr>
              <w:t xml:space="preserve"> identifier that connects the card reader data to EmSAT’s system.</w:t>
            </w:r>
          </w:p>
          <w:p w:rsidR="007E0DB2" w:rsidRPr="00F53161" w:rsidRDefault="004F6D7F" w:rsidP="007E0DB2">
            <w:pPr>
              <w:jc w:val="center"/>
              <w:rPr>
                <w:rFonts w:cstheme="minorHAnsi"/>
              </w:rPr>
            </w:pPr>
            <w:hyperlink r:id="rId11" w:history="1">
              <w:r w:rsidR="007E0DB2" w:rsidRPr="00F53161">
                <w:rPr>
                  <w:rStyle w:val="Hyperlink"/>
                  <w:rFonts w:cstheme="minorHAnsi"/>
                </w:rPr>
                <w:t>https://moeae87206-my.sharepoint.com/:u:/g/personal/peter_habib_moe_gov_ae/EbiqA_wm4thEj979_HOjot4Bm86TAtLaonGQ1efwkq3dcQ?e=dkQX4H</w:t>
              </w:r>
            </w:hyperlink>
          </w:p>
          <w:p w:rsidR="009067C0" w:rsidRPr="00F53161" w:rsidRDefault="004268DF" w:rsidP="00C052B6">
            <w:pPr>
              <w:pStyle w:val="ListParagraph"/>
              <w:numPr>
                <w:ilvl w:val="0"/>
                <w:numId w:val="5"/>
              </w:numPr>
              <w:spacing w:before="100" w:after="200" w:line="240" w:lineRule="auto"/>
              <w:rPr>
                <w:rFonts w:eastAsia="Times New Roman" w:cstheme="minorHAnsi"/>
                <w:rtl/>
              </w:rPr>
            </w:pPr>
            <w:r w:rsidRPr="00F53161">
              <w:rPr>
                <w:rFonts w:eastAsia="Times New Roman" w:cstheme="minorHAnsi"/>
              </w:rPr>
              <w:t>A school coordinators template</w:t>
            </w:r>
            <w:r w:rsidR="00C052B6" w:rsidRPr="00F53161">
              <w:rPr>
                <w:rFonts w:eastAsia="Times New Roman" w:cstheme="minorHAnsi"/>
              </w:rPr>
              <w:t xml:space="preserve"> is </w:t>
            </w:r>
            <w:r w:rsidRPr="00F53161">
              <w:rPr>
                <w:rFonts w:eastAsia="Times New Roman" w:cstheme="minorHAnsi"/>
              </w:rPr>
              <w:t xml:space="preserve">attached </w:t>
            </w:r>
          </w:p>
        </w:tc>
      </w:tr>
    </w:tbl>
    <w:p w:rsidR="009067C0" w:rsidRPr="00F53161" w:rsidRDefault="009067C0" w:rsidP="009067C0">
      <w:pPr>
        <w:bidi/>
        <w:spacing w:after="0" w:line="240" w:lineRule="auto"/>
        <w:jc w:val="center"/>
        <w:rPr>
          <w:rFonts w:eastAsia="Times New Roman" w:cstheme="minorHAnsi"/>
          <w:color w:val="000000"/>
          <w:rtl/>
        </w:rPr>
      </w:pPr>
      <w:r w:rsidRPr="00F53161">
        <w:rPr>
          <w:rFonts w:eastAsia="Times New Roman" w:cstheme="minorHAnsi"/>
          <w:color w:val="000000"/>
          <w:rtl/>
        </w:rPr>
        <w:t>                                                                                                 </w:t>
      </w:r>
    </w:p>
    <w:p w:rsidR="009067C0" w:rsidRPr="00F53161" w:rsidRDefault="009067C0" w:rsidP="009067C0">
      <w:pPr>
        <w:bidi/>
        <w:spacing w:after="0" w:line="240" w:lineRule="auto"/>
        <w:jc w:val="center"/>
        <w:rPr>
          <w:rFonts w:eastAsia="Times New Roman" w:cstheme="minorHAnsi"/>
          <w:color w:val="000000"/>
        </w:rPr>
      </w:pPr>
      <w:r w:rsidRPr="00F53161">
        <w:rPr>
          <w:rFonts w:eastAsia="Times New Roman" w:cstheme="minorHAnsi"/>
          <w:color w:val="000000"/>
          <w:rtl/>
        </w:rPr>
        <w:t> </w:t>
      </w:r>
    </w:p>
    <w:p w:rsidR="00176871" w:rsidRPr="00F53161" w:rsidRDefault="00176871" w:rsidP="00F53161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rtl/>
        </w:rPr>
      </w:pPr>
    </w:p>
    <w:p w:rsidR="009067C0" w:rsidRPr="00F53161" w:rsidRDefault="00474A79" w:rsidP="00F53161">
      <w:pPr>
        <w:bidi/>
        <w:spacing w:after="0" w:line="240" w:lineRule="auto"/>
        <w:jc w:val="right"/>
        <w:rPr>
          <w:rFonts w:eastAsia="Times New Roman" w:cstheme="minorHAnsi"/>
          <w:b/>
          <w:bCs/>
          <w:color w:val="000000"/>
          <w:rtl/>
        </w:rPr>
      </w:pPr>
      <w:r w:rsidRPr="00F53161">
        <w:rPr>
          <w:rFonts w:eastAsia="Times New Roman" w:cstheme="minorHAnsi"/>
          <w:b/>
          <w:bCs/>
          <w:color w:val="000000"/>
        </w:rPr>
        <w:t>Hessa Ahmad Al Wahhabi</w:t>
      </w:r>
    </w:p>
    <w:p w:rsidR="00176871" w:rsidRPr="00F53161" w:rsidRDefault="009067C0" w:rsidP="00F53161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F53161">
        <w:rPr>
          <w:rFonts w:eastAsia="Times New Roman" w:cstheme="minorHAnsi"/>
          <w:b/>
          <w:bCs/>
          <w:color w:val="000000"/>
        </w:rPr>
        <w:t>Acting Director of National and International</w:t>
      </w:r>
    </w:p>
    <w:p w:rsidR="009067C0" w:rsidRPr="00F53161" w:rsidRDefault="00474A79" w:rsidP="00F53161">
      <w:pPr>
        <w:spacing w:after="0" w:line="240" w:lineRule="auto"/>
        <w:ind w:firstLine="720"/>
        <w:rPr>
          <w:rFonts w:eastAsia="Times New Roman" w:cstheme="minorHAnsi"/>
          <w:b/>
          <w:bCs/>
          <w:color w:val="000000"/>
        </w:rPr>
      </w:pPr>
      <w:r w:rsidRPr="00F53161">
        <w:rPr>
          <w:rFonts w:eastAsia="Times New Roman" w:cstheme="minorHAnsi"/>
          <w:b/>
          <w:bCs/>
          <w:color w:val="000000"/>
        </w:rPr>
        <w:t xml:space="preserve">Assessments </w:t>
      </w:r>
      <w:r w:rsidR="0034395A" w:rsidRPr="00F53161">
        <w:rPr>
          <w:rFonts w:eastAsia="Times New Roman" w:cstheme="minorHAnsi"/>
          <w:b/>
          <w:bCs/>
          <w:color w:val="000000"/>
        </w:rPr>
        <w:t>Department</w:t>
      </w:r>
    </w:p>
    <w:sectPr w:rsidR="009067C0" w:rsidRPr="00F5316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7F" w:rsidRDefault="004F6D7F" w:rsidP="009067C0">
      <w:pPr>
        <w:spacing w:after="0" w:line="240" w:lineRule="auto"/>
      </w:pPr>
      <w:r>
        <w:separator/>
      </w:r>
    </w:p>
  </w:endnote>
  <w:endnote w:type="continuationSeparator" w:id="0">
    <w:p w:rsidR="004F6D7F" w:rsidRDefault="004F6D7F" w:rsidP="0090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7F" w:rsidRDefault="004F6D7F" w:rsidP="009067C0">
      <w:pPr>
        <w:spacing w:after="0" w:line="240" w:lineRule="auto"/>
      </w:pPr>
      <w:r>
        <w:separator/>
      </w:r>
    </w:p>
  </w:footnote>
  <w:footnote w:type="continuationSeparator" w:id="0">
    <w:p w:rsidR="004F6D7F" w:rsidRDefault="004F6D7F" w:rsidP="0090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C0" w:rsidRDefault="009067C0" w:rsidP="009067C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72717" wp14:editId="78035ACB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3392805" cy="923925"/>
          <wp:effectExtent l="0" t="0" r="0" b="9525"/>
          <wp:wrapThrough wrapText="bothSides">
            <wp:wrapPolygon edited="0">
              <wp:start x="0" y="0"/>
              <wp:lineTo x="0" y="21377"/>
              <wp:lineTo x="21467" y="21377"/>
              <wp:lineTo x="21467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ure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8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9CF"/>
    <w:multiLevelType w:val="hybridMultilevel"/>
    <w:tmpl w:val="83AE1616"/>
    <w:lvl w:ilvl="0" w:tplc="48A69E90">
      <w:numFmt w:val="bullet"/>
      <w:lvlText w:val="-"/>
      <w:lvlJc w:val="left"/>
      <w:pPr>
        <w:ind w:left="88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7050"/>
    <w:multiLevelType w:val="hybridMultilevel"/>
    <w:tmpl w:val="88E6717A"/>
    <w:lvl w:ilvl="0" w:tplc="48A69E90">
      <w:numFmt w:val="bullet"/>
      <w:lvlText w:val="-"/>
      <w:lvlJc w:val="left"/>
      <w:pPr>
        <w:ind w:left="8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42EE6802"/>
    <w:multiLevelType w:val="hybridMultilevel"/>
    <w:tmpl w:val="D046BB1A"/>
    <w:lvl w:ilvl="0" w:tplc="C450D302">
      <w:numFmt w:val="bullet"/>
      <w:lvlText w:val="-"/>
      <w:lvlJc w:val="left"/>
      <w:pPr>
        <w:ind w:left="16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4E777E9E"/>
    <w:multiLevelType w:val="hybridMultilevel"/>
    <w:tmpl w:val="9522D74A"/>
    <w:lvl w:ilvl="0" w:tplc="C450D3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8CC40E9"/>
    <w:multiLevelType w:val="hybridMultilevel"/>
    <w:tmpl w:val="54E2D9BE"/>
    <w:lvl w:ilvl="0" w:tplc="827AF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E2601"/>
    <w:multiLevelType w:val="hybridMultilevel"/>
    <w:tmpl w:val="27B0F5F8"/>
    <w:lvl w:ilvl="0" w:tplc="B63CB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63437"/>
    <w:multiLevelType w:val="hybridMultilevel"/>
    <w:tmpl w:val="5344E086"/>
    <w:lvl w:ilvl="0" w:tplc="0F64AB9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F05C8"/>
    <w:multiLevelType w:val="hybridMultilevel"/>
    <w:tmpl w:val="6E9843FE"/>
    <w:lvl w:ilvl="0" w:tplc="C450D302">
      <w:numFmt w:val="bullet"/>
      <w:lvlText w:val="-"/>
      <w:lvlJc w:val="left"/>
      <w:pPr>
        <w:ind w:left="8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C0"/>
    <w:rsid w:val="00004A58"/>
    <w:rsid w:val="00123DBA"/>
    <w:rsid w:val="0014739B"/>
    <w:rsid w:val="00156588"/>
    <w:rsid w:val="001625BA"/>
    <w:rsid w:val="00176871"/>
    <w:rsid w:val="001861B7"/>
    <w:rsid w:val="001E60FC"/>
    <w:rsid w:val="00297AE1"/>
    <w:rsid w:val="002A05C9"/>
    <w:rsid w:val="0032030C"/>
    <w:rsid w:val="0034395A"/>
    <w:rsid w:val="0036687B"/>
    <w:rsid w:val="003802E3"/>
    <w:rsid w:val="00382E32"/>
    <w:rsid w:val="003C33C0"/>
    <w:rsid w:val="004268DF"/>
    <w:rsid w:val="00474A79"/>
    <w:rsid w:val="004F6D7F"/>
    <w:rsid w:val="005241B2"/>
    <w:rsid w:val="005521E8"/>
    <w:rsid w:val="00590BD1"/>
    <w:rsid w:val="00672A70"/>
    <w:rsid w:val="006D6A94"/>
    <w:rsid w:val="00737261"/>
    <w:rsid w:val="0074117A"/>
    <w:rsid w:val="00781996"/>
    <w:rsid w:val="007D5262"/>
    <w:rsid w:val="007E0DB2"/>
    <w:rsid w:val="007E4859"/>
    <w:rsid w:val="007F533C"/>
    <w:rsid w:val="00834A84"/>
    <w:rsid w:val="009067C0"/>
    <w:rsid w:val="00907CBF"/>
    <w:rsid w:val="00915A3C"/>
    <w:rsid w:val="00956709"/>
    <w:rsid w:val="00974805"/>
    <w:rsid w:val="009C4B97"/>
    <w:rsid w:val="00A779C7"/>
    <w:rsid w:val="00A9111A"/>
    <w:rsid w:val="00AC05EB"/>
    <w:rsid w:val="00B1357C"/>
    <w:rsid w:val="00B643BF"/>
    <w:rsid w:val="00B822C9"/>
    <w:rsid w:val="00BE3C5F"/>
    <w:rsid w:val="00BE7986"/>
    <w:rsid w:val="00C052B6"/>
    <w:rsid w:val="00C20805"/>
    <w:rsid w:val="00C47A5A"/>
    <w:rsid w:val="00C741C2"/>
    <w:rsid w:val="00C85C65"/>
    <w:rsid w:val="00D071FE"/>
    <w:rsid w:val="00D668EB"/>
    <w:rsid w:val="00DD48CB"/>
    <w:rsid w:val="00DF241D"/>
    <w:rsid w:val="00DF266C"/>
    <w:rsid w:val="00E93A3D"/>
    <w:rsid w:val="00F17012"/>
    <w:rsid w:val="00F21DB5"/>
    <w:rsid w:val="00F53161"/>
    <w:rsid w:val="00F63B22"/>
    <w:rsid w:val="00FB2374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77A0"/>
  <w15:chartTrackingRefBased/>
  <w15:docId w15:val="{89FFEA02-5A60-4239-8662-BCD24B6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7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C0"/>
  </w:style>
  <w:style w:type="paragraph" w:styleId="Footer">
    <w:name w:val="footer"/>
    <w:basedOn w:val="Normal"/>
    <w:link w:val="FooterChar"/>
    <w:uiPriority w:val="99"/>
    <w:unhideWhenUsed/>
    <w:rsid w:val="00906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C0"/>
  </w:style>
  <w:style w:type="paragraph" w:styleId="ListParagraph">
    <w:name w:val="List Paragraph"/>
    <w:basedOn w:val="Normal"/>
    <w:uiPriority w:val="34"/>
    <w:qFormat/>
    <w:rsid w:val="007F53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esha.Alzaabi@moe.gov.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eae87206-my.sharepoint.com/:u:/g/personal/peter_habib_moe_gov_ae/EbiqA_wm4thEj979_HOjot4Bm86TAtLaonGQ1efwkq3dcQ?e=dkQX4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D@moe.gov.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sha.Almakhmary@moe.gov.a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56F2-D565-4BBB-A74B-9CAE8B38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Al Shehhi</dc:creator>
  <cp:keywords/>
  <dc:description/>
  <cp:lastModifiedBy>Ayesha AlMadani (عائشه المدني)</cp:lastModifiedBy>
  <cp:revision>2</cp:revision>
  <dcterms:created xsi:type="dcterms:W3CDTF">2019-09-24T08:15:00Z</dcterms:created>
  <dcterms:modified xsi:type="dcterms:W3CDTF">2019-09-24T08:15:00Z</dcterms:modified>
</cp:coreProperties>
</file>